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Gabriel Arraño, Gabriel Igliozzi, Uriel Juarez, Alejandro Adorno, Wenbin Zhang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7:50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#22: Run the Fairness benchmark tests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#23: Run the Privacy benchmark tests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#24: Run the Machine Ethics benchmark tests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#25: Run the Harmfulness benchmark tests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#14: Update the project repository with detailed findings and analysis.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#15: Develop criteria for benchmarking AI copyright watermarking methods.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#16: Compile a benchmarking dataset based on execution results.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#17: Draft a survey paper that outlines the state of the art, based on literature review and practical findings.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#18: Plan future research directions based on gaps identified in the survey.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Y9atHphcHlNH9z65jPnoMNq0TQA==">CgMxLjA4AHIhMVlzakJEcW9TNC1BM2RXXzRoWWNQUzVYQTAwd0x5Q3ZN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